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
        <w:jc w:val="center"/>
      </w:pPr>
      <w:r>
        <w:rPr>
          <w:rFonts w:ascii="Arial" w:cs="Arial" w:eastAsia="Arial" w:hAnsi="Arial"/>
          <w:b/>
          <w:bCs/>
          <w:color w:val="1e3a8a"/>
          <w:sz w:val="20"/>
          <w:szCs w:val="20"/>
        </w:rPr>
        <w:t xml:space="preserve">[COMPANY NAME] LIMITED</w:t>
      </w:r>
    </w:p>
    <w:p>
      <w:pPr>
        <w:spacing w:after="8"/>
        <w:jc w:val="center"/>
      </w:pPr>
      <w:r>
        <w:rPr>
          <w:rFonts w:ascii="Arial" w:cs="Arial" w:eastAsia="Arial" w:hAnsi="Arial"/>
          <w:b/>
          <w:bCs/>
          <w:color w:val="15323F"/>
          <w:sz w:val="22"/>
          <w:szCs w:val="22"/>
        </w:rPr>
        <w:t xml:space="preserve">CORPORATE SOCIAL RESPONSIBILITY (CSR) POLICY</w:t>
      </w:r>
    </w:p>
    <w:p>
      <w:pPr>
        <w:spacing w:after="120"/>
        <w:jc w:val="center"/>
      </w:pPr>
      <w:r>
        <w:rPr>
          <w:rFonts w:ascii="Arial" w:cs="Arial" w:eastAsia="Arial" w:hAnsi="Arial"/>
          <w:i/>
          <w:iCs/>
          <w:color w:val="64748b"/>
          <w:sz w:val="17"/>
          <w:szCs w:val="17"/>
        </w:rPr>
        <w:t xml:space="preserve">Section 135 of the Companies Act, 2013 and the Companies (CSR Policy) Rules, 2014</w:t>
      </w:r>
    </w:p>
    <w:p>
      <w:pPr>
        <w:spacing w:after="40" w:before="140"/>
      </w:pPr>
      <w:r>
        <w:rPr>
          <w:rFonts w:ascii="Arial" w:cs="Arial" w:eastAsia="Arial" w:hAnsi="Arial"/>
          <w:b/>
          <w:bCs/>
          <w:color w:val="15323F"/>
          <w:sz w:val="20"/>
          <w:szCs w:val="20"/>
        </w:rPr>
        <w:t xml:space="preserve">1. Applicability</w:t>
      </w:r>
    </w:p>
    <w:p>
      <w:pPr>
        <w:spacing w:after="60"/>
      </w:pPr>
      <w:r>
        <w:rPr>
          <w:rFonts w:ascii="Arial" w:cs="Arial" w:eastAsia="Arial" w:hAnsi="Arial"/>
          <w:sz w:val="20"/>
          <w:szCs w:val="20"/>
        </w:rPr>
        <w:t xml:space="preserve">This policy applies as the company meets the threshold under Section 135, having in the immediately preceding financial year a net worth of Rs 500 crore or more, or a turnover of Rs 1,000 crore or more, or a net profit of Rs 5 crore or more.</w:t>
      </w:r>
    </w:p>
    <w:p>
      <w:pPr>
        <w:spacing w:after="40" w:before="140"/>
      </w:pPr>
      <w:r>
        <w:rPr>
          <w:rFonts w:ascii="Arial" w:cs="Arial" w:eastAsia="Arial" w:hAnsi="Arial"/>
          <w:b/>
          <w:bCs/>
          <w:color w:val="15323F"/>
          <w:sz w:val="20"/>
          <w:szCs w:val="20"/>
        </w:rPr>
        <w:t xml:space="preserve">2. CSR Committee</w:t>
      </w:r>
    </w:p>
    <w:p>
      <w:pPr>
        <w:spacing w:after="60"/>
      </w:pPr>
      <w:r>
        <w:rPr>
          <w:rFonts w:ascii="Arial" w:cs="Arial" w:eastAsia="Arial" w:hAnsi="Arial"/>
          <w:sz w:val="20"/>
          <w:szCs w:val="20"/>
        </w:rPr>
        <w:t xml:space="preserve">The Board has constituted a CSR Committee to formulate and recommend the CSR policy, recommend the annual CSR expenditure, and monitor the policy. (Where the amount to be spent does not exceed Rs 50 lakh, the CSR Committee is not required and the Board discharges its functions.)</w:t>
      </w:r>
    </w:p>
    <w:p>
      <w:pPr>
        <w:spacing w:after="40" w:before="140"/>
      </w:pPr>
      <w:r>
        <w:rPr>
          <w:rFonts w:ascii="Arial" w:cs="Arial" w:eastAsia="Arial" w:hAnsi="Arial"/>
          <w:b/>
          <w:bCs/>
          <w:color w:val="15323F"/>
          <w:sz w:val="20"/>
          <w:szCs w:val="20"/>
        </w:rPr>
        <w:t xml:space="preserve">3. CSR expenditure</w:t>
      </w:r>
    </w:p>
    <w:p>
      <w:pPr>
        <w:spacing w:after="60"/>
      </w:pPr>
      <w:r>
        <w:rPr>
          <w:rFonts w:ascii="Arial" w:cs="Arial" w:eastAsia="Arial" w:hAnsi="Arial"/>
          <w:sz w:val="20"/>
          <w:szCs w:val="20"/>
        </w:rPr>
        <w:t xml:space="preserve">The company will spend, in every financial year, at least 2% of the average net profits made during the three immediately preceding financial years, on the activities listed in Schedule VII (such as eradicating hunger and poverty, education, health, gender equality, environmental sustainability and rural development). Any unspent amount relating to an ongoing project is transferred to a separate Unspent CSR Account; other unspent amounts are transferred to a fund specified in Schedule VII.</w:t>
      </w:r>
    </w:p>
    <w:p>
      <w:pPr>
        <w:spacing w:after="40" w:before="140"/>
      </w:pPr>
      <w:r>
        <w:rPr>
          <w:rFonts w:ascii="Arial" w:cs="Arial" w:eastAsia="Arial" w:hAnsi="Arial"/>
          <w:b/>
          <w:bCs/>
          <w:color w:val="15323F"/>
          <w:sz w:val="20"/>
          <w:szCs w:val="20"/>
        </w:rPr>
        <w:t xml:space="preserve">4. Governance and disclosure</w:t>
      </w:r>
    </w:p>
    <w:p>
      <w:pPr>
        <w:spacing w:after="60"/>
      </w:pPr>
      <w:r>
        <w:rPr>
          <w:rFonts w:ascii="Arial" w:cs="Arial" w:eastAsia="Arial" w:hAnsi="Arial"/>
          <w:sz w:val="20"/>
          <w:szCs w:val="20"/>
        </w:rPr>
        <w:t xml:space="preserve">The CSR Committee and the Board oversee implementation. The annual report on CSR is annexed to the Board's Report and the CSR policy and projects are disclosed on the company's website.</w:t>
      </w:r>
    </w:p>
    <w:p>
      <w:r>
        <w:br w:type="page"/>
      </w:r>
    </w:p>
    <w:p>
      <w:pPr>
        <w:spacing w:after="8"/>
        <w:jc w:val="center"/>
      </w:pPr>
      <w:r>
        <w:rPr>
          <w:rFonts w:ascii="Arial" w:cs="Arial" w:eastAsia="Arial" w:hAnsi="Arial"/>
          <w:b/>
          <w:bCs/>
          <w:color w:val="1e3a8a"/>
          <w:sz w:val="20"/>
          <w:szCs w:val="20"/>
        </w:rPr>
        <w:t xml:space="preserve">[COMPANY NAME] LIMITED</w:t>
      </w:r>
    </w:p>
    <w:p>
      <w:pPr>
        <w:spacing w:after="8"/>
        <w:jc w:val="center"/>
      </w:pPr>
      <w:r>
        <w:rPr>
          <w:rFonts w:ascii="Arial" w:cs="Arial" w:eastAsia="Arial" w:hAnsi="Arial"/>
          <w:b/>
          <w:bCs/>
          <w:color w:val="15323F"/>
          <w:sz w:val="22"/>
          <w:szCs w:val="22"/>
        </w:rPr>
        <w:t xml:space="preserve">VIGIL MECHANISM / WHISTLE-BLOWER POLICY</w:t>
      </w:r>
    </w:p>
    <w:p>
      <w:pPr>
        <w:spacing w:after="120"/>
        <w:jc w:val="center"/>
      </w:pPr>
      <w:r>
        <w:rPr>
          <w:rFonts w:ascii="Arial" w:cs="Arial" w:eastAsia="Arial" w:hAnsi="Arial"/>
          <w:i/>
          <w:iCs/>
          <w:color w:val="64748b"/>
          <w:sz w:val="17"/>
          <w:szCs w:val="17"/>
        </w:rPr>
        <w:t xml:space="preserve">Section 177(9) and Rule 7 of the Companies (Meetings of Board and its Powers) Rules, 2014</w:t>
      </w:r>
    </w:p>
    <w:p>
      <w:pPr>
        <w:spacing w:after="40" w:before="140"/>
      </w:pPr>
      <w:r>
        <w:rPr>
          <w:rFonts w:ascii="Arial" w:cs="Arial" w:eastAsia="Arial" w:hAnsi="Arial"/>
          <w:b/>
          <w:bCs/>
          <w:color w:val="15323F"/>
          <w:sz w:val="20"/>
          <w:szCs w:val="20"/>
        </w:rPr>
        <w:t xml:space="preserve">1. Applicability</w:t>
      </w:r>
    </w:p>
    <w:p>
      <w:pPr>
        <w:spacing w:after="60"/>
      </w:pPr>
      <w:r>
        <w:rPr>
          <w:rFonts w:ascii="Arial" w:cs="Arial" w:eastAsia="Arial" w:hAnsi="Arial"/>
          <w:sz w:val="20"/>
          <w:szCs w:val="20"/>
        </w:rPr>
        <w:t xml:space="preserve">This policy applies as the company is a listed company, or accepts deposits from the public, or has borrowed money from banks and public financial institutions in excess of Rs 50 crore.</w:t>
      </w:r>
    </w:p>
    <w:p>
      <w:pPr>
        <w:spacing w:after="40" w:before="140"/>
      </w:pPr>
      <w:r>
        <w:rPr>
          <w:rFonts w:ascii="Arial" w:cs="Arial" w:eastAsia="Arial" w:hAnsi="Arial"/>
          <w:b/>
          <w:bCs/>
          <w:color w:val="15323F"/>
          <w:sz w:val="20"/>
          <w:szCs w:val="20"/>
        </w:rPr>
        <w:t xml:space="preserve">2. Purpose</w:t>
      </w:r>
    </w:p>
    <w:p>
      <w:pPr>
        <w:spacing w:after="60"/>
      </w:pPr>
      <w:r>
        <w:rPr>
          <w:rFonts w:ascii="Arial" w:cs="Arial" w:eastAsia="Arial" w:hAnsi="Arial"/>
          <w:sz w:val="20"/>
          <w:szCs w:val="20"/>
        </w:rPr>
        <w:t xml:space="preserve">The vigil mechanism enables directors and employees to report genuine concerns about unethical behaviour, actual or suspected fraud, or violation of the company's code of conduct, and provides adequate safeguards against the victimisation of persons who use the mechanism.</w:t>
      </w:r>
    </w:p>
    <w:p>
      <w:pPr>
        <w:spacing w:after="40" w:before="140"/>
      </w:pPr>
      <w:r>
        <w:rPr>
          <w:rFonts w:ascii="Arial" w:cs="Arial" w:eastAsia="Arial" w:hAnsi="Arial"/>
          <w:b/>
          <w:bCs/>
          <w:color w:val="15323F"/>
          <w:sz w:val="20"/>
          <w:szCs w:val="20"/>
        </w:rPr>
        <w:t xml:space="preserve">3. Reporting and investigation</w:t>
      </w:r>
    </w:p>
    <w:p>
      <w:pPr>
        <w:spacing w:after="60"/>
      </w:pPr>
      <w:r>
        <w:rPr>
          <w:rFonts w:ascii="Arial" w:cs="Arial" w:eastAsia="Arial" w:hAnsi="Arial"/>
          <w:sz w:val="20"/>
          <w:szCs w:val="20"/>
        </w:rPr>
        <w:t xml:space="preserve">A protected disclosure may be made in writing to the Vigil Officer or, in appropriate cases, directly to the Chairman of the Audit Committee. Disclosures are investigated fairly and confidentially. Direct access to the Chairman of the Audit Committee is available in exceptional cases.</w:t>
      </w:r>
    </w:p>
    <w:p>
      <w:pPr>
        <w:spacing w:after="40" w:before="140"/>
      </w:pPr>
      <w:r>
        <w:rPr>
          <w:rFonts w:ascii="Arial" w:cs="Arial" w:eastAsia="Arial" w:hAnsi="Arial"/>
          <w:b/>
          <w:bCs/>
          <w:color w:val="15323F"/>
          <w:sz w:val="20"/>
          <w:szCs w:val="20"/>
        </w:rPr>
        <w:t xml:space="preserve">4. Protection and oversight</w:t>
      </w:r>
    </w:p>
    <w:p>
      <w:pPr>
        <w:spacing w:after="60"/>
      </w:pPr>
      <w:r>
        <w:rPr>
          <w:rFonts w:ascii="Arial" w:cs="Arial" w:eastAsia="Arial" w:hAnsi="Arial"/>
          <w:sz w:val="20"/>
          <w:szCs w:val="20"/>
        </w:rPr>
        <w:t xml:space="preserve">No adverse action will be taken against a whistle-blower who makes a disclosure in good faith. The Audit Committee (or the Board where there is no Audit Committee) oversees the mechanism and reviews its functioning periodically.</w:t>
      </w:r>
    </w:p>
    <w:p>
      <w:r>
        <w:br w:type="page"/>
      </w:r>
    </w:p>
    <w:p>
      <w:pPr>
        <w:spacing w:after="8"/>
        <w:jc w:val="center"/>
      </w:pPr>
      <w:r>
        <w:rPr>
          <w:rFonts w:ascii="Arial" w:cs="Arial" w:eastAsia="Arial" w:hAnsi="Arial"/>
          <w:b/>
          <w:bCs/>
          <w:color w:val="1e3a8a"/>
          <w:sz w:val="20"/>
          <w:szCs w:val="20"/>
        </w:rPr>
        <w:t xml:space="preserve">[COMPANY NAME] LIMITED</w:t>
      </w:r>
    </w:p>
    <w:p>
      <w:pPr>
        <w:spacing w:after="8"/>
        <w:jc w:val="center"/>
      </w:pPr>
      <w:r>
        <w:rPr>
          <w:rFonts w:ascii="Arial" w:cs="Arial" w:eastAsia="Arial" w:hAnsi="Arial"/>
          <w:b/>
          <w:bCs/>
          <w:color w:val="15323F"/>
          <w:sz w:val="22"/>
          <w:szCs w:val="22"/>
        </w:rPr>
        <w:t xml:space="preserve">NOMINATION AND REMUNERATION POLICY</w:t>
      </w:r>
    </w:p>
    <w:p>
      <w:pPr>
        <w:spacing w:after="120"/>
        <w:jc w:val="center"/>
      </w:pPr>
      <w:r>
        <w:rPr>
          <w:rFonts w:ascii="Arial" w:cs="Arial" w:eastAsia="Arial" w:hAnsi="Arial"/>
          <w:i/>
          <w:iCs/>
          <w:color w:val="64748b"/>
          <w:sz w:val="17"/>
          <w:szCs w:val="17"/>
        </w:rPr>
        <w:t xml:space="preserve">Section 178 of the Companies Act, 2013</w:t>
      </w:r>
    </w:p>
    <w:p>
      <w:pPr>
        <w:spacing w:after="40" w:before="140"/>
      </w:pPr>
      <w:r>
        <w:rPr>
          <w:rFonts w:ascii="Arial" w:cs="Arial" w:eastAsia="Arial" w:hAnsi="Arial"/>
          <w:b/>
          <w:bCs/>
          <w:color w:val="15323F"/>
          <w:sz w:val="20"/>
          <w:szCs w:val="20"/>
        </w:rPr>
        <w:t xml:space="preserve">1. Applicability</w:t>
      </w:r>
    </w:p>
    <w:p>
      <w:pPr>
        <w:spacing w:after="60"/>
      </w:pPr>
      <w:r>
        <w:rPr>
          <w:rFonts w:ascii="Arial" w:cs="Arial" w:eastAsia="Arial" w:hAnsi="Arial"/>
          <w:sz w:val="20"/>
          <w:szCs w:val="20"/>
        </w:rPr>
        <w:t xml:space="preserve">This policy applies as the company is a listed company, or a public company with a paid-up share capital of Rs 10 crore or more, or a turnover of Rs 100 crore or more, or aggregate outstanding loans, debentures and deposits exceeding Rs 50 crore. (A private company is generally not required to constitute a Nomination and Remuneration Committee unless it independently crosses these thresholds.)</w:t>
      </w:r>
    </w:p>
    <w:p>
      <w:pPr>
        <w:spacing w:after="40" w:before="140"/>
      </w:pPr>
      <w:r>
        <w:rPr>
          <w:rFonts w:ascii="Arial" w:cs="Arial" w:eastAsia="Arial" w:hAnsi="Arial"/>
          <w:b/>
          <w:bCs/>
          <w:color w:val="15323F"/>
          <w:sz w:val="20"/>
          <w:szCs w:val="20"/>
        </w:rPr>
        <w:t xml:space="preserve">2. Nomination and Remuneration Committee</w:t>
      </w:r>
    </w:p>
    <w:p>
      <w:pPr>
        <w:spacing w:after="60"/>
      </w:pPr>
      <w:r>
        <w:rPr>
          <w:rFonts w:ascii="Arial" w:cs="Arial" w:eastAsia="Arial" w:hAnsi="Arial"/>
          <w:sz w:val="20"/>
          <w:szCs w:val="20"/>
        </w:rPr>
        <w:t xml:space="preserve">The Board has constituted a Nomination and Remuneration Committee to identify persons qualified to become directors and to be appointed in senior management, recommend their appointment and removal, and formulate the criteria for determining qualifications, positive attributes and independence of a director.</w:t>
      </w:r>
    </w:p>
    <w:p>
      <w:pPr>
        <w:spacing w:after="40" w:before="140"/>
      </w:pPr>
      <w:r>
        <w:rPr>
          <w:rFonts w:ascii="Arial" w:cs="Arial" w:eastAsia="Arial" w:hAnsi="Arial"/>
          <w:b/>
          <w:bCs/>
          <w:color w:val="15323F"/>
          <w:sz w:val="20"/>
          <w:szCs w:val="20"/>
        </w:rPr>
        <w:t xml:space="preserve">3. Remuneration policy</w:t>
      </w:r>
    </w:p>
    <w:p>
      <w:pPr>
        <w:spacing w:after="60"/>
      </w:pPr>
      <w:r>
        <w:rPr>
          <w:rFonts w:ascii="Arial" w:cs="Arial" w:eastAsia="Arial" w:hAnsi="Arial"/>
          <w:sz w:val="20"/>
          <w:szCs w:val="20"/>
        </w:rPr>
        <w:t xml:space="preserve">The Committee recommends a policy relating to the remuneration of directors, key managerial personnel and other employees, ensuring that the level and composition of remuneration is reasonable and sufficient to attract and retain talent, that the relationship of remuneration to performance is clear, and that remuneration reflects short- and long-term performance objectives.</w:t>
      </w:r>
    </w:p>
    <w:p>
      <w:pPr>
        <w:spacing w:after="40" w:before="140"/>
      </w:pPr>
      <w:r>
        <w:rPr>
          <w:rFonts w:ascii="Arial" w:cs="Arial" w:eastAsia="Arial" w:hAnsi="Arial"/>
          <w:b/>
          <w:bCs/>
          <w:color w:val="15323F"/>
          <w:sz w:val="20"/>
          <w:szCs w:val="20"/>
        </w:rPr>
        <w:t xml:space="preserve">4. Performance evaluation</w:t>
      </w:r>
    </w:p>
    <w:p>
      <w:pPr>
        <w:spacing w:after="60"/>
      </w:pPr>
      <w:r>
        <w:rPr>
          <w:rFonts w:ascii="Arial" w:cs="Arial" w:eastAsia="Arial" w:hAnsi="Arial"/>
          <w:sz w:val="20"/>
          <w:szCs w:val="20"/>
        </w:rPr>
        <w:t xml:space="preserve">The Committee lays down the criteria for the evaluation of the performance of the Board, its committees and individual directors.</w:t>
      </w:r>
    </w:p>
    <w:p>
      <w:pPr>
        <w:spacing w:after="0" w:before="180"/>
      </w:pPr>
      <w:r>
        <w:rPr>
          <w:rFonts w:ascii="Arial" w:cs="Arial" w:eastAsia="Arial" w:hAnsi="Arial"/>
          <w:sz w:val="20"/>
          <w:szCs w:val="20"/>
        </w:rPr>
        <w:t xml:space="preserve">Approved by the Board of Directors on </w:t>
      </w:r>
      <w:r>
        <w:rPr>
          <w:rFonts w:ascii="Arial" w:cs="Arial" w:eastAsia="Arial" w:hAnsi="Arial"/>
          <w:b/>
          <w:bCs/>
          <w:color w:val="1e3a8a"/>
          <w:sz w:val="20"/>
          <w:szCs w:val="20"/>
        </w:rPr>
        <w:t xml:space="preserve">[date]</w:t>
      </w:r>
      <w:r>
        <w:rPr>
          <w:rFonts w:ascii="Arial" w:cs="Arial" w:eastAsia="Arial" w:hAnsi="Arial"/>
          <w:sz w:val="20"/>
          <w:szCs w:val="20"/>
        </w:rPr>
        <w:t xml:space="preserve">.</w:t>
      </w:r>
    </w:p>
    <w:p>
      <w:pPr>
        <w:spacing w:after="0" w:before="160"/>
      </w:pPr>
      <w:r>
        <w:rPr>
          <w:rFonts w:ascii="Arial" w:cs="Arial" w:eastAsia="Arial" w:hAnsi="Arial"/>
          <w:sz w:val="20"/>
          <w:szCs w:val="20"/>
        </w:rPr>
        <w:t xml:space="preserve">_______________________  (Director / Company Secretary)</w:t>
      </w:r>
    </w:p>
    <w:p>
      <w:pPr>
        <w:spacing w:before="200"/>
      </w:pPr>
      <w:r>
        <w:rPr>
          <w:rFonts w:ascii="Arial" w:cs="Arial" w:eastAsia="Arial" w:hAnsi="Arial"/>
          <w:i/>
          <w:iCs/>
          <w:color w:val="64748b"/>
          <w:sz w:val="16"/>
          <w:szCs w:val="16"/>
        </w:rPr>
        <w:t xml:space="preserve">Note: These are general policy templates. The CSR, Vigil Mechanism and NRC requirements apply on crossing the thresholds noted above; a small private company is usually not required to adopt them. Adapt to the company's circumstances and confirm the current law before adoption. Not legal advice.</w:t>
      </w:r>
    </w:p>
    <w:sectPr>
      <w:footerReference w:type="default" r:id="rId7"/>
      <w:pgSz w:w="11906" w:h="16838" w:orient="portrait"/>
      <w:pgMar w:top="1100" w:right="1100" w:bottom="1100" w:left="11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64748b"/>
        <w:sz w:val="15"/>
        <w:szCs w:val="15"/>
      </w:rPr>
      <w:t xml:space="preserve">Template courtesy CalcGuru - calcguru.in.  General format only, not legal advice.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2026-07-05T17:17:44.977Z</dcterms:created>
  <dcterms:modified xsi:type="dcterms:W3CDTF">2026-07-05T17:17:44.978Z</dcterms:modified>
</cp:coreProperties>
</file>

<file path=docProps/custom.xml><?xml version="1.0" encoding="utf-8"?>
<Properties xmlns="http://schemas.openxmlformats.org/officeDocument/2006/custom-properties" xmlns:vt="http://schemas.openxmlformats.org/officeDocument/2006/docPropsVTypes"/>
</file>